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pageBreakBefore w:val="0"/>
        <w:widowControl/>
        <w:kinsoku/>
        <w:wordWrap/>
        <w:overflowPunct/>
        <w:topLinePunct w:val="0"/>
        <w:autoSpaceDE/>
        <w:autoSpaceDN/>
        <w:bidi w:val="0"/>
        <w:adjustRightInd w:val="0"/>
        <w:snapToGrid w:val="0"/>
        <w:spacing w:before="469" w:beforeLines="150" w:after="313" w:afterLines="100" w:line="240" w:lineRule="auto"/>
        <w:textAlignment w:val="auto"/>
        <w:rPr>
          <w:rStyle w:val="6"/>
          <w:rFonts w:hint="eastAsia" w:ascii="黑体" w:hAnsi="黑体" w:eastAsia="黑体" w:cs="黑体"/>
          <w:b/>
          <w:bCs/>
          <w:sz w:val="32"/>
          <w:szCs w:val="32"/>
        </w:rPr>
      </w:pPr>
      <w:r>
        <w:rPr>
          <w:rFonts w:hint="eastAsia" w:ascii="黑体" w:hAnsi="黑体" w:eastAsia="黑体" w:cs="黑体"/>
          <w:b/>
          <w:bCs/>
          <w:sz w:val="32"/>
          <w:szCs w:val="32"/>
          <w:lang w:val="en-US" w:eastAsia="zh-CN"/>
        </w:rPr>
        <w:t>“企业碳排放核算与核查实践”课程培训通知</w:t>
      </w:r>
    </w:p>
    <w:p>
      <w:pPr>
        <w:pStyle w:val="11"/>
        <w:rPr>
          <w:rFonts w:hint="eastAsia" w:ascii="宋体" w:hAnsi="宋体" w:eastAsia="宋体" w:cs="宋体"/>
          <w:b/>
          <w:bCs/>
          <w:snapToGrid w:val="0"/>
          <w:lang w:val="en-US" w:eastAsia="zh-CN"/>
        </w:rPr>
      </w:pPr>
      <w:r>
        <w:rPr>
          <w:rFonts w:hint="eastAsia" w:ascii="宋体" w:hAnsi="宋体" w:eastAsia="宋体" w:cs="宋体"/>
          <w:b/>
          <w:bCs/>
          <w:snapToGrid w:val="0"/>
          <w:lang w:val="en-US" w:eastAsia="zh-CN"/>
        </w:rPr>
        <w:t>一、培训介绍：</w:t>
      </w:r>
    </w:p>
    <w:p>
      <w:pPr>
        <w:pStyle w:val="11"/>
        <w:ind w:firstLine="640"/>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2021年7月16日，全国碳排放权交易市场正式启动，2000多家电力企业率先纳入全国碳市场管控范畴，覆盖约45亿吨二氧化碳排放量，成为全球覆盖温室气体排放规模最大的碳市场。这是我国第一次从国家层面将温室气体控排责任压实到企业，通过市场倒逼机制，促进产业技术的转型升级，有效控制企业温室气体排放，发挥市场机制在我国碳达峰、碳中和目标中的作用。</w:t>
      </w:r>
    </w:p>
    <w:p>
      <w:pPr>
        <w:pStyle w:val="11"/>
        <w:ind w:firstLine="560" w:firstLineChars="200"/>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对于控排企业、新能源企业、地方政府和核查机构等碳市场的各重要参与方来讲，掌握基本工作流程和正确的量化及核算方法，制定合理的监测计划，并熟知MRV体系建设规范，是确保自身碳排放数据准确性和更有效的参与全国碳市场的重要保障。切实加强相关人员能力建设，落实MRV体系工作，是当前全国碳市场建设的重点任务，同时也是纳入企业、第三方核查机构及相关支撑机构能否在碳市场及低碳发展进程中立足的重要体现！</w:t>
      </w:r>
    </w:p>
    <w:p>
      <w:pPr>
        <w:pStyle w:val="11"/>
        <w:tabs>
          <w:tab w:val="left" w:pos="7980"/>
        </w:tabs>
        <w:ind w:firstLine="560" w:firstLineChars="200"/>
        <w:rPr>
          <w:rFonts w:hint="eastAsia" w:ascii="宋体" w:hAnsi="宋体" w:eastAsia="宋体" w:cs="宋体"/>
          <w:b/>
          <w:bCs/>
          <w:snapToGrid w:val="0"/>
          <w:sz w:val="28"/>
          <w:szCs w:val="28"/>
          <w:lang w:val="en-US" w:eastAsia="zh-CN"/>
        </w:rPr>
      </w:pPr>
      <w:r>
        <w:rPr>
          <w:rFonts w:hint="eastAsia" w:ascii="宋体" w:hAnsi="宋体" w:eastAsia="宋体" w:cs="宋体"/>
          <w:snapToGrid w:val="0"/>
          <w:sz w:val="28"/>
          <w:szCs w:val="28"/>
          <w:lang w:val="en-US" w:eastAsia="zh-CN"/>
        </w:rPr>
        <w:t>作为国内低碳和碳市场能力建设领域的引领者，中国节能协会碳中和专业委员会副主任委员单位、青岛市节能协会碳中和专业委员会主任委员单位，山东世通国际认证有限公司作为国内权威第三方认证机构以及CCAA温室气体和核查员注册推荐机构，以其资源优势和丰富实践经验，携手中创碳投教育，全力推出</w:t>
      </w:r>
      <w:r>
        <w:rPr>
          <w:rFonts w:hint="eastAsia" w:ascii="宋体" w:hAnsi="宋体" w:eastAsia="宋体" w:cs="宋体"/>
          <w:b/>
          <w:bCs/>
          <w:snapToGrid w:val="0"/>
          <w:sz w:val="28"/>
          <w:szCs w:val="28"/>
          <w:lang w:val="en-US" w:eastAsia="zh-CN"/>
        </w:rPr>
        <w:t>网络“企业碳排放核算与核查实践”课程。</w:t>
      </w:r>
    </w:p>
    <w:p>
      <w:pPr>
        <w:pStyle w:val="11"/>
        <w:rPr>
          <w:rFonts w:hint="eastAsia" w:ascii="Microsoft YaHei UI" w:hAnsi="Microsoft YaHei UI" w:eastAsia="Microsoft YaHei UI" w:cs="Microsoft YaHei UI"/>
          <w:i w:val="0"/>
          <w:caps w:val="0"/>
          <w:color w:val="050505"/>
          <w:spacing w:val="15"/>
          <w:sz w:val="21"/>
          <w:szCs w:val="21"/>
          <w:shd w:val="clear" w:fill="FFFFFF"/>
          <w:lang w:val="en-US" w:eastAsia="zh-CN"/>
        </w:rPr>
      </w:pPr>
    </w:p>
    <w:p>
      <w:pPr>
        <w:pStyle w:val="11"/>
        <w:rPr>
          <w:rFonts w:hint="eastAsia" w:ascii="宋体" w:hAnsi="宋体" w:eastAsia="宋体" w:cs="宋体"/>
          <w:b/>
          <w:bCs/>
          <w:snapToGrid w:val="0"/>
          <w:lang w:val="en-US" w:eastAsia="zh-CN"/>
        </w:rPr>
      </w:pPr>
      <w:r>
        <w:rPr>
          <w:rFonts w:hint="eastAsia" w:ascii="宋体" w:hAnsi="宋体" w:eastAsia="宋体" w:cs="宋体"/>
          <w:b/>
          <w:bCs/>
          <w:snapToGrid w:val="0"/>
          <w:lang w:val="en-US" w:eastAsia="zh-CN"/>
        </w:rPr>
        <w:t>二、培训亮点：</w:t>
      </w:r>
    </w:p>
    <w:p>
      <w:pPr>
        <w:pStyle w:val="11"/>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1.快速提升专业素质：系统了解碳市场发展最新政策、掌握碳排放核</w:t>
      </w:r>
    </w:p>
    <w:p>
      <w:pPr>
        <w:pStyle w:val="11"/>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算统计与报送工作技能、独立开展碳排放核查工作。</w:t>
      </w:r>
    </w:p>
    <w:p>
      <w:pPr>
        <w:pStyle w:val="11"/>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2.轻松掌握实操技能: 碳排放核算与核查领域的一线专家亲临教学，注重案例分析及工作实用性，结合自身情况有的放矢，让知识和经验转化为行动力；</w:t>
      </w:r>
    </w:p>
    <w:p>
      <w:pPr>
        <w:pStyle w:val="11"/>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3.创建长期合作平台：搭建优质资源整合平台，实现与政策制定者、行业专家、企业负责人在课堂内外的沟通交流；</w:t>
      </w:r>
    </w:p>
    <w:p>
      <w:pPr>
        <w:pStyle w:val="11"/>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4.权威机构能力认定：参与培训并考核合格的学员将获得由国家职业资格培训鉴定实验基地授予的</w:t>
      </w:r>
      <w:r>
        <w:rPr>
          <w:rFonts w:hint="eastAsia" w:ascii="宋体" w:hAnsi="宋体" w:eastAsia="宋体" w:cs="宋体"/>
          <w:b/>
          <w:bCs/>
          <w:snapToGrid w:val="0"/>
          <w:sz w:val="28"/>
          <w:szCs w:val="28"/>
          <w:lang w:val="en-US" w:eastAsia="zh-CN"/>
        </w:rPr>
        <w:t>“碳核查员”职业培训证书</w:t>
      </w:r>
      <w:r>
        <w:rPr>
          <w:rFonts w:hint="eastAsia" w:ascii="宋体" w:hAnsi="宋体" w:eastAsia="宋体" w:cs="宋体"/>
          <w:snapToGrid w:val="0"/>
          <w:sz w:val="28"/>
          <w:szCs w:val="28"/>
          <w:lang w:val="en-US" w:eastAsia="zh-CN"/>
        </w:rPr>
        <w:t>，为碳排放核算与核查相关岗位储备和推荐优秀人才，拓展学员职业规划领域，提升个人职业发展能力。</w:t>
      </w:r>
    </w:p>
    <w:p>
      <w:pPr>
        <w:pStyle w:val="11"/>
        <w:rPr>
          <w:rFonts w:hint="eastAsia" w:ascii="宋体" w:hAnsi="宋体" w:eastAsia="宋体" w:cs="宋体"/>
          <w:sz w:val="32"/>
          <w:szCs w:val="32"/>
        </w:rPr>
      </w:pPr>
      <w:r>
        <w:rPr>
          <w:rFonts w:hint="eastAsia"/>
          <w:snapToGrid w:val="0"/>
          <w:lang w:val="en-US" w:eastAsia="zh-CN"/>
        </w:rPr>
        <w:drawing>
          <wp:anchor distT="0" distB="0" distL="114300" distR="114300" simplePos="0" relativeHeight="251660288" behindDoc="0" locked="0" layoutInCell="1" allowOverlap="1">
            <wp:simplePos x="0" y="0"/>
            <wp:positionH relativeFrom="column">
              <wp:posOffset>175895</wp:posOffset>
            </wp:positionH>
            <wp:positionV relativeFrom="paragraph">
              <wp:posOffset>854075</wp:posOffset>
            </wp:positionV>
            <wp:extent cx="5120640" cy="1724025"/>
            <wp:effectExtent l="0" t="0" r="3810" b="9525"/>
            <wp:wrapSquare wrapText="bothSides"/>
            <wp:docPr id="6"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7"/>
                    <pic:cNvPicPr>
                      <a:picLocks noChangeAspect="1"/>
                    </pic:cNvPicPr>
                  </pic:nvPicPr>
                  <pic:blipFill>
                    <a:blip r:embed="rId4"/>
                    <a:srcRect t="4955" b="3716"/>
                    <a:stretch>
                      <a:fillRect/>
                    </a:stretch>
                  </pic:blipFill>
                  <pic:spPr>
                    <a:xfrm>
                      <a:off x="0" y="0"/>
                      <a:ext cx="5120640" cy="1724025"/>
                    </a:xfrm>
                    <a:prstGeom prst="rect">
                      <a:avLst/>
                    </a:prstGeom>
                    <a:noFill/>
                    <a:ln w="9525">
                      <a:noFill/>
                    </a:ln>
                  </pic:spPr>
                </pic:pic>
              </a:graphicData>
            </a:graphic>
          </wp:anchor>
        </w:drawing>
      </w:r>
      <w:r>
        <w:rPr>
          <w:rFonts w:hint="eastAsia" w:ascii="宋体" w:hAnsi="宋体" w:eastAsia="宋体" w:cs="宋体"/>
          <w:snapToGrid w:val="0"/>
          <w:sz w:val="24"/>
          <w:szCs w:val="24"/>
          <w:lang w:val="en-US" w:eastAsia="zh-CN"/>
        </w:rPr>
        <w:t>（注：国家职业资格培训鉴定实验基地是国家人力资源和社会保障部在天津建立的综合性职业标准开发机构。主要承担新职业标准研发和推广工作，开展培训鉴定实验项目和课题研究，进行新职业教材和课程设计，建立新职业考核标准、考试题库等。）</w:t>
      </w:r>
    </w:p>
    <w:p>
      <w:pPr>
        <w:pStyle w:val="2"/>
        <w:keepNext w:val="0"/>
        <w:keepLines w:val="0"/>
        <w:widowControl/>
        <w:suppressLineNumbers w:val="0"/>
        <w:ind w:left="0" w:firstLine="0"/>
        <w:jc w:val="center"/>
        <w:rPr>
          <w:rFonts w:hint="eastAsia" w:ascii="宋体" w:hAnsi="宋体" w:eastAsia="宋体" w:cs="宋体"/>
          <w:sz w:val="32"/>
          <w:szCs w:val="32"/>
        </w:rPr>
      </w:pPr>
      <w:r>
        <w:rPr>
          <w:rFonts w:hint="eastAsia" w:ascii="宋体" w:hAnsi="宋体" w:eastAsia="宋体" w:cs="宋体"/>
          <w:sz w:val="32"/>
          <w:szCs w:val="32"/>
        </w:rPr>
        <w:t>证书样本</w:t>
      </w:r>
    </w:p>
    <w:p>
      <w:pPr>
        <w:pStyle w:val="11"/>
        <w:numPr>
          <w:ilvl w:val="0"/>
          <w:numId w:val="1"/>
        </w:numPr>
        <w:rPr>
          <w:rFonts w:hint="eastAsia" w:ascii="宋体" w:hAnsi="宋体" w:eastAsia="宋体" w:cs="宋体"/>
          <w:b/>
          <w:bCs/>
          <w:snapToGrid w:val="0"/>
          <w:lang w:val="en-US" w:eastAsia="zh-CN"/>
        </w:rPr>
      </w:pPr>
      <w:r>
        <w:rPr>
          <w:rFonts w:hint="eastAsia" w:ascii="宋体" w:hAnsi="宋体" w:eastAsia="宋体" w:cs="宋体"/>
          <w:b/>
          <w:bCs/>
          <w:snapToGrid w:val="0"/>
          <w:lang w:val="en-US" w:eastAsia="zh-CN"/>
        </w:rPr>
        <w:t>培训内容：</w:t>
      </w:r>
    </w:p>
    <w:p>
      <w:pPr>
        <w:pStyle w:val="11"/>
        <w:rPr>
          <w:rFonts w:hint="eastAsia" w:ascii="宋体" w:hAnsi="宋体" w:eastAsia="宋体" w:cs="宋体"/>
          <w:b/>
          <w:bCs/>
          <w:snapToGrid w:val="0"/>
          <w:sz w:val="28"/>
          <w:szCs w:val="28"/>
          <w:lang w:val="en-US" w:eastAsia="zh-CN"/>
        </w:rPr>
      </w:pPr>
      <w:r>
        <w:rPr>
          <w:rFonts w:hint="eastAsia" w:ascii="宋体" w:hAnsi="宋体" w:eastAsia="宋体" w:cs="宋体"/>
          <w:b/>
          <w:bCs/>
          <w:snapToGrid w:val="0"/>
          <w:color w:val="FF0000"/>
          <w:sz w:val="28"/>
          <w:szCs w:val="28"/>
          <w:lang w:val="en-US" w:eastAsia="zh-CN"/>
        </w:rPr>
        <w:t>模块一</w:t>
      </w:r>
      <w:r>
        <w:rPr>
          <w:rFonts w:hint="eastAsia" w:ascii="宋体" w:hAnsi="宋体" w:eastAsia="宋体" w:cs="宋体"/>
          <w:b/>
          <w:bCs/>
          <w:snapToGrid w:val="0"/>
          <w:sz w:val="28"/>
          <w:szCs w:val="28"/>
          <w:lang w:val="en-US" w:eastAsia="zh-CN"/>
        </w:rPr>
        <w:t> 国家温室气体排放核算核查政策 </w:t>
      </w:r>
    </w:p>
    <w:p>
      <w:pPr>
        <w:pStyle w:val="11"/>
        <w:rPr>
          <w:rFonts w:hint="eastAsia" w:ascii="宋体" w:hAnsi="宋体" w:eastAsia="宋体" w:cs="宋体"/>
          <w:snapToGrid w:val="0"/>
          <w:sz w:val="28"/>
          <w:szCs w:val="28"/>
          <w:lang w:val="en-US" w:eastAsia="zh-CN"/>
        </w:rPr>
      </w:pPr>
      <w:r>
        <w:rPr>
          <w:rFonts w:hint="eastAsia" w:ascii="仿宋" w:hAnsi="仿宋" w:eastAsia="仿宋" w:cs="仿宋"/>
          <w:snapToGrid w:val="0"/>
          <w:sz w:val="28"/>
          <w:szCs w:val="28"/>
          <w:lang w:val="en-US" w:eastAsia="zh-CN"/>
        </w:rPr>
        <w:t>·</w:t>
      </w:r>
      <w:r>
        <w:rPr>
          <w:rFonts w:hint="eastAsia" w:ascii="宋体" w:hAnsi="宋体" w:eastAsia="宋体" w:cs="宋体"/>
          <w:snapToGrid w:val="0"/>
          <w:sz w:val="28"/>
          <w:szCs w:val="28"/>
          <w:lang w:val="en-US" w:eastAsia="zh-CN"/>
        </w:rPr>
        <w:t>国家低碳减排与碳市场政策背景</w:t>
      </w:r>
    </w:p>
    <w:p>
      <w:pPr>
        <w:pStyle w:val="11"/>
        <w:rPr>
          <w:rFonts w:hint="eastAsia" w:ascii="宋体" w:hAnsi="宋体" w:eastAsia="宋体" w:cs="宋体"/>
          <w:snapToGrid w:val="0"/>
          <w:sz w:val="28"/>
          <w:szCs w:val="28"/>
          <w:lang w:val="en-US" w:eastAsia="zh-CN"/>
        </w:rPr>
      </w:pPr>
      <w:r>
        <w:rPr>
          <w:rFonts w:hint="eastAsia" w:ascii="仿宋" w:hAnsi="仿宋" w:eastAsia="仿宋" w:cs="仿宋"/>
          <w:snapToGrid w:val="0"/>
          <w:sz w:val="28"/>
          <w:szCs w:val="28"/>
          <w:lang w:val="en-US" w:eastAsia="zh-CN"/>
        </w:rPr>
        <w:t>·</w:t>
      </w:r>
      <w:r>
        <w:rPr>
          <w:rFonts w:hint="eastAsia" w:ascii="宋体" w:hAnsi="宋体" w:eastAsia="宋体" w:cs="宋体"/>
          <w:snapToGrid w:val="0"/>
          <w:sz w:val="28"/>
          <w:szCs w:val="28"/>
          <w:lang w:val="en-US" w:eastAsia="zh-CN"/>
        </w:rPr>
        <w:t>全国统一碳市场建设进展及展望 </w:t>
      </w:r>
    </w:p>
    <w:p>
      <w:pPr>
        <w:pStyle w:val="11"/>
        <w:rPr>
          <w:rFonts w:hint="eastAsia" w:ascii="宋体" w:hAnsi="宋体" w:eastAsia="宋体" w:cs="宋体"/>
          <w:snapToGrid w:val="0"/>
          <w:sz w:val="28"/>
          <w:szCs w:val="28"/>
          <w:lang w:val="en-US" w:eastAsia="zh-CN"/>
        </w:rPr>
      </w:pPr>
      <w:r>
        <w:rPr>
          <w:rFonts w:hint="eastAsia" w:ascii="仿宋" w:hAnsi="仿宋" w:eastAsia="仿宋" w:cs="仿宋"/>
          <w:snapToGrid w:val="0"/>
          <w:sz w:val="28"/>
          <w:szCs w:val="28"/>
          <w:lang w:val="en-US" w:eastAsia="zh-CN"/>
        </w:rPr>
        <w:t>·</w:t>
      </w:r>
      <w:r>
        <w:rPr>
          <w:rFonts w:hint="eastAsia" w:ascii="宋体" w:hAnsi="宋体" w:eastAsia="宋体" w:cs="宋体"/>
          <w:snapToGrid w:val="0"/>
          <w:sz w:val="28"/>
          <w:szCs w:val="28"/>
          <w:lang w:val="en-US" w:eastAsia="zh-CN"/>
        </w:rPr>
        <w:t>国家第三方核查政策要求与规范</w:t>
      </w:r>
    </w:p>
    <w:p>
      <w:pPr>
        <w:pStyle w:val="11"/>
        <w:rPr>
          <w:rFonts w:hint="eastAsia" w:ascii="宋体" w:hAnsi="宋体" w:eastAsia="宋体" w:cs="宋体"/>
          <w:b/>
          <w:bCs/>
          <w:snapToGrid w:val="0"/>
          <w:sz w:val="28"/>
          <w:szCs w:val="28"/>
          <w:lang w:val="en-US" w:eastAsia="zh-CN"/>
        </w:rPr>
      </w:pPr>
      <w:r>
        <w:rPr>
          <w:rFonts w:hint="eastAsia" w:ascii="宋体" w:hAnsi="宋体" w:eastAsia="宋体" w:cs="宋体"/>
          <w:b/>
          <w:bCs/>
          <w:snapToGrid w:val="0"/>
          <w:color w:val="FF0000"/>
          <w:sz w:val="28"/>
          <w:szCs w:val="28"/>
          <w:lang w:val="en-US" w:eastAsia="zh-CN"/>
        </w:rPr>
        <w:t>模块二</w:t>
      </w:r>
      <w:r>
        <w:rPr>
          <w:rFonts w:hint="eastAsia" w:ascii="宋体" w:hAnsi="宋体" w:eastAsia="宋体" w:cs="宋体"/>
          <w:b/>
          <w:bCs/>
          <w:snapToGrid w:val="0"/>
          <w:sz w:val="28"/>
          <w:szCs w:val="28"/>
          <w:lang w:val="en-US" w:eastAsia="zh-CN"/>
        </w:rPr>
        <w:t> 国家重点行业核算方法与报告指南</w:t>
      </w:r>
    </w:p>
    <w:p>
      <w:pPr>
        <w:pStyle w:val="11"/>
        <w:rPr>
          <w:rFonts w:hint="eastAsia" w:ascii="宋体" w:hAnsi="宋体" w:eastAsia="宋体" w:cs="宋体"/>
          <w:snapToGrid w:val="0"/>
          <w:sz w:val="28"/>
          <w:szCs w:val="28"/>
          <w:lang w:val="en-US" w:eastAsia="zh-CN"/>
        </w:rPr>
      </w:pPr>
      <w:r>
        <w:rPr>
          <w:rFonts w:hint="eastAsia" w:ascii="仿宋" w:hAnsi="仿宋" w:eastAsia="仿宋" w:cs="仿宋"/>
          <w:snapToGrid w:val="0"/>
          <w:sz w:val="28"/>
          <w:szCs w:val="28"/>
          <w:lang w:val="en-US" w:eastAsia="zh-CN"/>
        </w:rPr>
        <w:t>·</w:t>
      </w:r>
      <w:r>
        <w:rPr>
          <w:rFonts w:hint="eastAsia" w:ascii="宋体" w:hAnsi="宋体" w:eastAsia="宋体" w:cs="宋体"/>
          <w:snapToGrid w:val="0"/>
          <w:sz w:val="28"/>
          <w:szCs w:val="28"/>
          <w:lang w:val="en-US" w:eastAsia="zh-CN"/>
        </w:rPr>
        <w:t>重点行业温室气体排放核算报告指南解读</w:t>
      </w:r>
    </w:p>
    <w:p>
      <w:pPr>
        <w:pStyle w:val="11"/>
        <w:rPr>
          <w:rFonts w:hint="eastAsia" w:ascii="宋体" w:hAnsi="宋体" w:eastAsia="宋体" w:cs="宋体"/>
          <w:snapToGrid w:val="0"/>
          <w:sz w:val="28"/>
          <w:szCs w:val="28"/>
          <w:lang w:val="en-US" w:eastAsia="zh-CN"/>
        </w:rPr>
      </w:pPr>
      <w:r>
        <w:rPr>
          <w:rFonts w:hint="eastAsia" w:ascii="仿宋" w:hAnsi="仿宋" w:eastAsia="仿宋" w:cs="仿宋"/>
          <w:snapToGrid w:val="0"/>
          <w:sz w:val="28"/>
          <w:szCs w:val="28"/>
          <w:lang w:val="en-US" w:eastAsia="zh-CN"/>
        </w:rPr>
        <w:t>·</w:t>
      </w:r>
      <w:r>
        <w:rPr>
          <w:rFonts w:hint="eastAsia" w:ascii="宋体" w:hAnsi="宋体" w:eastAsia="宋体" w:cs="宋体"/>
          <w:snapToGrid w:val="0"/>
          <w:sz w:val="28"/>
          <w:szCs w:val="28"/>
          <w:lang w:val="en-US" w:eastAsia="zh-CN"/>
        </w:rPr>
        <w:t>重点行业温室气体排放补充数据表解读与填写规范</w:t>
      </w:r>
    </w:p>
    <w:p>
      <w:pPr>
        <w:pStyle w:val="11"/>
        <w:rPr>
          <w:rFonts w:hint="eastAsia" w:ascii="宋体" w:hAnsi="宋体" w:eastAsia="宋体" w:cs="宋体"/>
          <w:snapToGrid w:val="0"/>
          <w:sz w:val="28"/>
          <w:szCs w:val="28"/>
          <w:lang w:val="en-US" w:eastAsia="zh-CN"/>
        </w:rPr>
      </w:pPr>
      <w:r>
        <w:rPr>
          <w:rFonts w:hint="eastAsia" w:ascii="仿宋" w:hAnsi="仿宋" w:eastAsia="仿宋" w:cs="仿宋"/>
          <w:snapToGrid w:val="0"/>
          <w:sz w:val="28"/>
          <w:szCs w:val="28"/>
          <w:lang w:val="en-US" w:eastAsia="zh-CN"/>
        </w:rPr>
        <w:t>·</w:t>
      </w:r>
      <w:r>
        <w:rPr>
          <w:rFonts w:hint="eastAsia" w:ascii="宋体" w:hAnsi="宋体" w:eastAsia="宋体" w:cs="宋体"/>
          <w:snapToGrid w:val="0"/>
          <w:sz w:val="28"/>
          <w:szCs w:val="28"/>
          <w:lang w:val="en-US" w:eastAsia="zh-CN"/>
        </w:rPr>
        <w:t>监测计划制定规范及要点解读</w:t>
      </w:r>
    </w:p>
    <w:p>
      <w:pPr>
        <w:pStyle w:val="11"/>
        <w:rPr>
          <w:rFonts w:hint="eastAsia" w:ascii="宋体" w:hAnsi="宋体" w:eastAsia="宋体" w:cs="宋体"/>
          <w:snapToGrid w:val="0"/>
          <w:sz w:val="28"/>
          <w:szCs w:val="28"/>
          <w:lang w:val="en-US" w:eastAsia="zh-CN"/>
        </w:rPr>
      </w:pPr>
      <w:r>
        <w:rPr>
          <w:rFonts w:hint="eastAsia" w:ascii="仿宋" w:hAnsi="仿宋" w:eastAsia="仿宋" w:cs="仿宋"/>
          <w:snapToGrid w:val="0"/>
          <w:sz w:val="28"/>
          <w:szCs w:val="28"/>
          <w:lang w:val="en-US" w:eastAsia="zh-CN"/>
        </w:rPr>
        <w:t>·</w:t>
      </w:r>
      <w:r>
        <w:rPr>
          <w:rFonts w:hint="eastAsia" w:ascii="宋体" w:hAnsi="宋体" w:eastAsia="宋体" w:cs="宋体"/>
          <w:snapToGrid w:val="0"/>
          <w:sz w:val="28"/>
          <w:szCs w:val="28"/>
          <w:lang w:val="en-US" w:eastAsia="zh-CN"/>
        </w:rPr>
        <w:t>国家碳市场帮助平台典型问题解析</w:t>
      </w:r>
    </w:p>
    <w:p>
      <w:pPr>
        <w:pStyle w:val="11"/>
        <w:rPr>
          <w:rFonts w:hint="eastAsia" w:ascii="宋体" w:hAnsi="宋体" w:eastAsia="宋体" w:cs="宋体"/>
          <w:b/>
          <w:bCs/>
          <w:snapToGrid w:val="0"/>
          <w:sz w:val="28"/>
          <w:szCs w:val="28"/>
          <w:lang w:val="en-US" w:eastAsia="zh-CN"/>
        </w:rPr>
      </w:pPr>
      <w:r>
        <w:rPr>
          <w:rFonts w:hint="eastAsia" w:ascii="宋体" w:hAnsi="宋体" w:eastAsia="宋体" w:cs="宋体"/>
          <w:b/>
          <w:bCs/>
          <w:snapToGrid w:val="0"/>
          <w:color w:val="FF0000"/>
          <w:sz w:val="28"/>
          <w:szCs w:val="28"/>
          <w:lang w:val="en-US" w:eastAsia="zh-CN"/>
        </w:rPr>
        <w:t>模块三</w:t>
      </w:r>
      <w:r>
        <w:rPr>
          <w:rFonts w:hint="eastAsia" w:ascii="宋体" w:hAnsi="宋体" w:eastAsia="宋体" w:cs="宋体"/>
          <w:b/>
          <w:bCs/>
          <w:snapToGrid w:val="0"/>
          <w:sz w:val="28"/>
          <w:szCs w:val="28"/>
          <w:lang w:val="en-US" w:eastAsia="zh-CN"/>
        </w:rPr>
        <w:t> 国家温室气体排放第三方核查标准与实践 </w:t>
      </w:r>
    </w:p>
    <w:p>
      <w:pPr>
        <w:pStyle w:val="11"/>
        <w:rPr>
          <w:rFonts w:hint="eastAsia" w:ascii="宋体" w:hAnsi="宋体" w:eastAsia="宋体" w:cs="宋体"/>
          <w:snapToGrid w:val="0"/>
          <w:sz w:val="28"/>
          <w:szCs w:val="28"/>
          <w:lang w:val="en-US" w:eastAsia="zh-CN"/>
        </w:rPr>
      </w:pPr>
      <w:r>
        <w:rPr>
          <w:rFonts w:hint="eastAsia" w:ascii="仿宋" w:hAnsi="仿宋" w:eastAsia="仿宋" w:cs="仿宋"/>
          <w:snapToGrid w:val="0"/>
          <w:sz w:val="28"/>
          <w:szCs w:val="28"/>
          <w:lang w:val="en-US" w:eastAsia="zh-CN"/>
        </w:rPr>
        <w:t>·</w:t>
      </w:r>
      <w:r>
        <w:rPr>
          <w:rFonts w:hint="eastAsia" w:ascii="宋体" w:hAnsi="宋体" w:eastAsia="宋体" w:cs="宋体"/>
          <w:snapToGrid w:val="0"/>
          <w:sz w:val="28"/>
          <w:szCs w:val="28"/>
          <w:lang w:val="en-US" w:eastAsia="zh-CN"/>
        </w:rPr>
        <w:t>第三方核查基本工作流程与关键点 </w:t>
      </w:r>
    </w:p>
    <w:p>
      <w:pPr>
        <w:pStyle w:val="11"/>
        <w:rPr>
          <w:rFonts w:hint="eastAsia" w:ascii="宋体" w:hAnsi="宋体" w:eastAsia="宋体" w:cs="宋体"/>
          <w:snapToGrid w:val="0"/>
          <w:sz w:val="28"/>
          <w:szCs w:val="28"/>
          <w:lang w:val="en-US" w:eastAsia="zh-CN"/>
        </w:rPr>
      </w:pPr>
      <w:r>
        <w:rPr>
          <w:rFonts w:hint="eastAsia" w:ascii="仿宋" w:hAnsi="仿宋" w:eastAsia="仿宋" w:cs="仿宋"/>
          <w:snapToGrid w:val="0"/>
          <w:sz w:val="28"/>
          <w:szCs w:val="28"/>
          <w:lang w:val="en-US" w:eastAsia="zh-CN"/>
        </w:rPr>
        <w:t>·</w:t>
      </w:r>
      <w:r>
        <w:rPr>
          <w:rFonts w:hint="eastAsia" w:ascii="宋体" w:hAnsi="宋体" w:eastAsia="宋体" w:cs="宋体"/>
          <w:snapToGrid w:val="0"/>
          <w:sz w:val="28"/>
          <w:szCs w:val="28"/>
          <w:lang w:val="en-US" w:eastAsia="zh-CN"/>
        </w:rPr>
        <w:t>中国自愿减排项目（CCER）核查标准</w:t>
      </w:r>
    </w:p>
    <w:p>
      <w:pPr>
        <w:pStyle w:val="11"/>
        <w:rPr>
          <w:rFonts w:hint="eastAsia" w:ascii="宋体" w:hAnsi="宋体" w:eastAsia="宋体" w:cs="宋体"/>
          <w:snapToGrid w:val="0"/>
          <w:sz w:val="28"/>
          <w:szCs w:val="28"/>
          <w:lang w:val="en-US" w:eastAsia="zh-CN"/>
        </w:rPr>
      </w:pPr>
      <w:r>
        <w:rPr>
          <w:rFonts w:hint="eastAsia" w:ascii="仿宋" w:hAnsi="仿宋" w:eastAsia="仿宋" w:cs="仿宋"/>
          <w:snapToGrid w:val="0"/>
          <w:sz w:val="28"/>
          <w:szCs w:val="28"/>
          <w:lang w:val="en-US" w:eastAsia="zh-CN"/>
        </w:rPr>
        <w:t>·</w:t>
      </w:r>
      <w:r>
        <w:rPr>
          <w:rFonts w:hint="eastAsia" w:ascii="宋体" w:hAnsi="宋体" w:eastAsia="宋体" w:cs="宋体"/>
          <w:snapToGrid w:val="0"/>
          <w:sz w:val="28"/>
          <w:szCs w:val="28"/>
          <w:lang w:val="en-US" w:eastAsia="zh-CN"/>
        </w:rPr>
        <w:t>温室气体排放清单编制流程和案例解读</w:t>
      </w:r>
    </w:p>
    <w:p>
      <w:pPr>
        <w:pStyle w:val="11"/>
        <w:rPr>
          <w:rFonts w:hint="eastAsia" w:ascii="宋体" w:hAnsi="宋体" w:eastAsia="宋体" w:cs="宋体"/>
          <w:b/>
          <w:bCs/>
          <w:snapToGrid w:val="0"/>
          <w:sz w:val="28"/>
          <w:szCs w:val="28"/>
          <w:lang w:val="en-US" w:eastAsia="zh-CN"/>
        </w:rPr>
      </w:pPr>
      <w:r>
        <w:rPr>
          <w:rFonts w:hint="eastAsia" w:ascii="宋体" w:hAnsi="宋体" w:eastAsia="宋体" w:cs="宋体"/>
          <w:b/>
          <w:bCs/>
          <w:snapToGrid w:val="0"/>
          <w:color w:val="FF0000"/>
          <w:sz w:val="28"/>
          <w:szCs w:val="28"/>
          <w:lang w:val="en-US" w:eastAsia="zh-CN"/>
        </w:rPr>
        <w:t>模块四</w:t>
      </w:r>
      <w:r>
        <w:rPr>
          <w:rFonts w:hint="eastAsia" w:ascii="宋体" w:hAnsi="宋体" w:eastAsia="宋体" w:cs="宋体"/>
          <w:b/>
          <w:bCs/>
          <w:snapToGrid w:val="0"/>
          <w:sz w:val="28"/>
          <w:szCs w:val="28"/>
          <w:lang w:val="en-US" w:eastAsia="zh-CN"/>
        </w:rPr>
        <w:t> 互动模拟实操教学与分组讨论</w:t>
      </w:r>
    </w:p>
    <w:p>
      <w:pPr>
        <w:pStyle w:val="11"/>
        <w:rPr>
          <w:rFonts w:hint="eastAsia" w:ascii="宋体" w:hAnsi="宋体" w:eastAsia="宋体" w:cs="宋体"/>
          <w:snapToGrid w:val="0"/>
          <w:sz w:val="28"/>
          <w:szCs w:val="28"/>
          <w:lang w:val="en-US" w:eastAsia="zh-CN"/>
        </w:rPr>
      </w:pPr>
      <w:r>
        <w:rPr>
          <w:rFonts w:hint="eastAsia" w:ascii="仿宋" w:hAnsi="仿宋" w:eastAsia="仿宋" w:cs="仿宋"/>
          <w:snapToGrid w:val="0"/>
          <w:sz w:val="28"/>
          <w:szCs w:val="28"/>
          <w:lang w:val="en-US" w:eastAsia="zh-CN"/>
        </w:rPr>
        <w:t>·</w:t>
      </w:r>
      <w:r>
        <w:rPr>
          <w:rFonts w:hint="eastAsia" w:ascii="宋体" w:hAnsi="宋体" w:eastAsia="宋体" w:cs="宋体"/>
          <w:snapToGrid w:val="0"/>
          <w:sz w:val="28"/>
          <w:szCs w:val="28"/>
          <w:lang w:val="en-US" w:eastAsia="zh-CN"/>
        </w:rPr>
        <w:t>互动模拟：企业碳排放核算核查实践</w:t>
      </w:r>
    </w:p>
    <w:p>
      <w:pPr>
        <w:pStyle w:val="11"/>
        <w:rPr>
          <w:rFonts w:hint="eastAsia" w:ascii="宋体" w:hAnsi="宋体" w:eastAsia="宋体" w:cs="宋体"/>
          <w:snapToGrid w:val="0"/>
          <w:sz w:val="28"/>
          <w:szCs w:val="28"/>
          <w:lang w:val="en-US" w:eastAsia="zh-CN"/>
        </w:rPr>
      </w:pPr>
      <w:r>
        <w:rPr>
          <w:rFonts w:hint="eastAsia" w:ascii="仿宋" w:hAnsi="仿宋" w:eastAsia="仿宋" w:cs="仿宋"/>
          <w:snapToGrid w:val="0"/>
          <w:sz w:val="28"/>
          <w:szCs w:val="28"/>
          <w:lang w:val="en-US" w:eastAsia="zh-CN"/>
        </w:rPr>
        <w:t>·</w:t>
      </w:r>
      <w:r>
        <w:rPr>
          <w:rFonts w:hint="eastAsia" w:ascii="宋体" w:hAnsi="宋体" w:eastAsia="宋体" w:cs="宋体"/>
          <w:snapToGrid w:val="0"/>
          <w:sz w:val="28"/>
          <w:szCs w:val="28"/>
          <w:lang w:val="en-US" w:eastAsia="zh-CN"/>
        </w:rPr>
        <w:t>互动模拟：CCER项目审定流程及关键点案例实践</w:t>
      </w:r>
    </w:p>
    <w:p>
      <w:pPr>
        <w:pStyle w:val="11"/>
        <w:rPr>
          <w:rFonts w:hint="eastAsia" w:ascii="宋体" w:hAnsi="宋体" w:eastAsia="宋体" w:cs="宋体"/>
          <w:snapToGrid w:val="0"/>
          <w:sz w:val="28"/>
          <w:szCs w:val="28"/>
          <w:lang w:val="en-US" w:eastAsia="zh-CN"/>
        </w:rPr>
      </w:pPr>
      <w:r>
        <w:rPr>
          <w:rFonts w:hint="eastAsia" w:ascii="仿宋" w:hAnsi="仿宋" w:eastAsia="仿宋" w:cs="仿宋"/>
          <w:snapToGrid w:val="0"/>
          <w:sz w:val="28"/>
          <w:szCs w:val="28"/>
          <w:lang w:val="en-US" w:eastAsia="zh-CN"/>
        </w:rPr>
        <w:t>·</w:t>
      </w:r>
      <w:r>
        <w:rPr>
          <w:rFonts w:hint="eastAsia" w:ascii="宋体" w:hAnsi="宋体" w:eastAsia="宋体" w:cs="宋体"/>
          <w:snapToGrid w:val="0"/>
          <w:sz w:val="28"/>
          <w:szCs w:val="28"/>
          <w:lang w:val="en-US" w:eastAsia="zh-CN"/>
        </w:rPr>
        <w:t>分组讨论：纳入企业如何配合第三方开展碳排放核查工作</w:t>
      </w:r>
    </w:p>
    <w:p>
      <w:pPr>
        <w:pStyle w:val="11"/>
        <w:rPr>
          <w:rFonts w:hint="eastAsia" w:ascii="宋体" w:hAnsi="宋体" w:eastAsia="宋体" w:cs="宋体"/>
          <w:snapToGrid w:val="0"/>
          <w:lang w:val="en-US" w:eastAsia="zh-CN"/>
        </w:rPr>
      </w:pPr>
    </w:p>
    <w:p>
      <w:pPr>
        <w:pStyle w:val="11"/>
        <w:rPr>
          <w:rFonts w:hint="eastAsia" w:ascii="宋体" w:hAnsi="宋体" w:eastAsia="宋体" w:cs="宋体"/>
          <w:b/>
          <w:bCs/>
          <w:snapToGrid w:val="0"/>
          <w:lang w:val="en-US" w:eastAsia="zh-CN"/>
        </w:rPr>
      </w:pPr>
      <w:r>
        <w:rPr>
          <w:rFonts w:hint="eastAsia" w:ascii="宋体" w:hAnsi="宋体" w:eastAsia="宋体" w:cs="宋体"/>
          <w:b/>
          <w:bCs/>
          <w:snapToGrid w:val="0"/>
          <w:lang w:val="en-US" w:eastAsia="zh-CN"/>
        </w:rPr>
        <w:t>四、培训对象：</w:t>
      </w:r>
    </w:p>
    <w:p>
      <w:pPr>
        <w:pStyle w:val="11"/>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1、纳入全国统一碳市场的各企（事）业单位相关负责人员；</w:t>
      </w:r>
    </w:p>
    <w:p>
      <w:pPr>
        <w:pStyle w:val="11"/>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2、地方各级政府、公共机构、低碳试点、碳排放报告、清单编制及碳市场管理相关人员；</w:t>
      </w:r>
    </w:p>
    <w:p>
      <w:pPr>
        <w:pStyle w:val="11"/>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3、节能技术服务公司、科研单位、高校等支撑机构人员；</w:t>
      </w:r>
    </w:p>
    <w:p>
      <w:pPr>
        <w:pStyle w:val="11"/>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4、其他对企业碳排放核算体系及核查标准感兴趣的相关人员。</w:t>
      </w:r>
    </w:p>
    <w:p>
      <w:pPr>
        <w:pStyle w:val="11"/>
        <w:rPr>
          <w:rFonts w:hint="eastAsia" w:ascii="宋体" w:hAnsi="宋体" w:eastAsia="宋体" w:cs="宋体"/>
          <w:snapToGrid w:val="0"/>
          <w:lang w:val="en-US" w:eastAsia="zh-CN"/>
        </w:rPr>
      </w:pPr>
    </w:p>
    <w:p>
      <w:pPr>
        <w:pStyle w:val="11"/>
        <w:rPr>
          <w:rFonts w:hint="eastAsia" w:ascii="宋体" w:hAnsi="宋体" w:eastAsia="宋体" w:cs="宋体"/>
          <w:snapToGrid w:val="0"/>
          <w:lang w:val="en-US" w:eastAsia="zh-CN"/>
        </w:rPr>
      </w:pPr>
    </w:p>
    <w:p>
      <w:pPr>
        <w:pStyle w:val="11"/>
        <w:rPr>
          <w:rFonts w:hint="eastAsia" w:ascii="宋体" w:hAnsi="宋体" w:eastAsia="宋体" w:cs="宋体"/>
          <w:snapToGrid w:val="0"/>
          <w:lang w:val="en-US" w:eastAsia="zh-CN"/>
        </w:rPr>
      </w:pPr>
    </w:p>
    <w:p>
      <w:pPr>
        <w:pStyle w:val="11"/>
        <w:numPr>
          <w:ilvl w:val="0"/>
          <w:numId w:val="0"/>
        </w:numPr>
        <w:ind w:leftChars="0"/>
        <w:rPr>
          <w:rFonts w:hint="eastAsia" w:ascii="宋体" w:hAnsi="宋体" w:eastAsia="宋体" w:cs="宋体"/>
          <w:b/>
          <w:bCs/>
          <w:snapToGrid w:val="0"/>
          <w:lang w:val="en-US" w:eastAsia="zh-CN"/>
        </w:rPr>
      </w:pPr>
      <w:r>
        <w:rPr>
          <w:rFonts w:hint="eastAsia" w:ascii="宋体" w:hAnsi="宋体" w:eastAsia="宋体" w:cs="宋体"/>
          <w:b/>
          <w:bCs/>
          <w:snapToGrid w:val="0"/>
          <w:lang w:val="en-US" w:eastAsia="zh-CN"/>
        </w:rPr>
        <w:t>五、培训安排</w:t>
      </w:r>
    </w:p>
    <w:p>
      <w:pPr>
        <w:pStyle w:val="11"/>
        <w:numPr>
          <w:ilvl w:val="0"/>
          <w:numId w:val="0"/>
        </w:numPr>
        <w:ind w:leftChars="0"/>
        <w:rPr>
          <w:rFonts w:hint="default" w:ascii="宋体" w:hAnsi="宋体" w:eastAsia="宋体" w:cs="宋体"/>
          <w:b w:val="0"/>
          <w:bCs w:val="0"/>
          <w:snapToGrid w:val="0"/>
          <w:lang w:val="en-US" w:eastAsia="zh-CN"/>
        </w:rPr>
      </w:pPr>
      <w:r>
        <w:rPr>
          <w:rFonts w:hint="eastAsia" w:ascii="宋体" w:hAnsi="宋体" w:eastAsia="宋体" w:cs="宋体"/>
          <w:b w:val="0"/>
          <w:bCs w:val="0"/>
          <w:snapToGrid w:val="0"/>
          <w:lang w:val="en-US" w:eastAsia="zh-CN"/>
        </w:rPr>
        <w:t>时间：2021年10月19-22日</w:t>
      </w:r>
    </w:p>
    <w:p>
      <w:pPr>
        <w:pStyle w:val="11"/>
        <w:rPr>
          <w:rFonts w:hint="eastAsia" w:ascii="宋体" w:hAnsi="宋体" w:eastAsia="宋体" w:cs="宋体"/>
          <w:b w:val="0"/>
          <w:bCs w:val="0"/>
          <w:snapToGrid w:val="0"/>
          <w:sz w:val="28"/>
          <w:szCs w:val="28"/>
          <w:lang w:val="en-US" w:eastAsia="zh-CN"/>
        </w:rPr>
      </w:pPr>
      <w:r>
        <w:rPr>
          <w:rFonts w:hint="eastAsia" w:ascii="宋体" w:hAnsi="宋体" w:eastAsia="宋体" w:cs="宋体"/>
          <w:b w:val="0"/>
          <w:bCs w:val="0"/>
          <w:snapToGrid w:val="0"/>
          <w:sz w:val="28"/>
          <w:szCs w:val="28"/>
          <w:lang w:val="en-US" w:eastAsia="zh-CN"/>
        </w:rPr>
        <w:t>地点：网络在线学习平台（可进行回看）</w:t>
      </w:r>
    </w:p>
    <w:p>
      <w:pPr>
        <w:pStyle w:val="11"/>
        <w:rPr>
          <w:rFonts w:hint="eastAsia" w:ascii="宋体" w:hAnsi="宋体" w:eastAsia="宋体" w:cs="宋体"/>
          <w:b w:val="0"/>
          <w:bCs w:val="0"/>
          <w:snapToGrid w:val="0"/>
          <w:sz w:val="28"/>
          <w:szCs w:val="28"/>
          <w:lang w:val="en-US" w:eastAsia="zh-CN"/>
        </w:rPr>
      </w:pPr>
    </w:p>
    <w:p>
      <w:pPr>
        <w:pStyle w:val="11"/>
        <w:numPr>
          <w:ilvl w:val="0"/>
          <w:numId w:val="2"/>
        </w:numPr>
        <w:rPr>
          <w:rFonts w:hint="eastAsia" w:ascii="宋体" w:hAnsi="宋体" w:eastAsia="宋体" w:cs="宋体"/>
          <w:b/>
          <w:bCs/>
          <w:snapToGrid w:val="0"/>
          <w:lang w:val="en-US" w:eastAsia="zh-CN"/>
        </w:rPr>
      </w:pPr>
      <w:r>
        <w:rPr>
          <w:rFonts w:hint="eastAsia" w:ascii="宋体" w:hAnsi="宋体" w:eastAsia="宋体" w:cs="宋体"/>
          <w:b/>
          <w:bCs/>
          <w:snapToGrid w:val="0"/>
          <w:lang w:val="en-US" w:eastAsia="zh-CN"/>
        </w:rPr>
        <w:t>收费标准</w:t>
      </w:r>
    </w:p>
    <w:p>
      <w:pPr>
        <w:pStyle w:val="11"/>
        <w:numPr>
          <w:ilvl w:val="0"/>
          <w:numId w:val="0"/>
        </w:numPr>
        <w:rPr>
          <w:rFonts w:hint="eastAsia" w:ascii="宋体" w:hAnsi="宋体" w:eastAsia="宋体" w:cs="宋体"/>
          <w:b/>
          <w:bCs/>
          <w:snapToGrid w:val="0"/>
          <w:lang w:val="en-US" w:eastAsia="zh-CN"/>
        </w:rPr>
      </w:pPr>
      <w:r>
        <w:rPr>
          <w:rFonts w:hint="eastAsia" w:ascii="宋体" w:hAnsi="宋体" w:eastAsia="宋体" w:cs="宋体"/>
          <w:snapToGrid w:val="0"/>
          <w:sz w:val="28"/>
          <w:szCs w:val="28"/>
          <w:lang w:val="en-US" w:eastAsia="zh-CN"/>
        </w:rPr>
        <w:t>优惠价</w:t>
      </w:r>
      <w:r>
        <w:rPr>
          <w:rFonts w:hint="eastAsia" w:ascii="宋体" w:hAnsi="宋体" w:eastAsia="宋体" w:cs="宋体"/>
          <w:b/>
          <w:bCs/>
          <w:snapToGrid w:val="0"/>
          <w:sz w:val="28"/>
          <w:szCs w:val="28"/>
          <w:lang w:val="en-US" w:eastAsia="zh-CN"/>
        </w:rPr>
        <w:t>1999/人/期</w:t>
      </w:r>
      <w:r>
        <w:rPr>
          <w:rFonts w:hint="eastAsia" w:ascii="宋体" w:hAnsi="宋体" w:eastAsia="宋体" w:cs="宋体"/>
          <w:snapToGrid w:val="0"/>
          <w:sz w:val="28"/>
          <w:szCs w:val="28"/>
          <w:lang w:val="en-US" w:eastAsia="zh-CN"/>
        </w:rPr>
        <w:t>（包括授课费、电子版教材、线上考试费和证书费。如已经关注“世通认证碳中和最新资讯沟通群”并成功领取300元培训基金的，本次培训可减免对应金额的费用。），其他费用自理。</w:t>
      </w:r>
    </w:p>
    <w:tbl>
      <w:tblPr>
        <w:tblStyle w:val="4"/>
        <w:tblpPr w:leftFromText="180" w:rightFromText="180" w:vertAnchor="text" w:horzAnchor="page" w:tblpX="1752" w:tblpY="25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1"/>
        <w:gridCol w:w="1367"/>
        <w:gridCol w:w="5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41" w:type="dxa"/>
            <w:vMerge w:val="restart"/>
            <w:vAlign w:val="center"/>
          </w:tcPr>
          <w:p>
            <w:pPr>
              <w:pStyle w:val="11"/>
              <w:widowControl w:val="0"/>
              <w:jc w:val="center"/>
              <w:rPr>
                <w:rFonts w:hint="eastAsia" w:ascii="宋体" w:hAnsi="宋体" w:eastAsia="宋体" w:cs="宋体"/>
                <w:snapToGrid w:val="0"/>
                <w:sz w:val="28"/>
                <w:szCs w:val="28"/>
                <w:vertAlign w:val="baseline"/>
                <w:lang w:val="en-US" w:eastAsia="zh-CN"/>
              </w:rPr>
            </w:pPr>
            <w:r>
              <w:rPr>
                <w:rFonts w:hint="eastAsia" w:ascii="宋体" w:hAnsi="宋体" w:eastAsia="宋体" w:cs="宋体"/>
                <w:snapToGrid w:val="0"/>
                <w:sz w:val="28"/>
                <w:szCs w:val="28"/>
                <w:vertAlign w:val="baseline"/>
                <w:lang w:val="en-US" w:eastAsia="zh-CN"/>
              </w:rPr>
              <w:t>汇款信息</w:t>
            </w:r>
          </w:p>
        </w:tc>
        <w:tc>
          <w:tcPr>
            <w:tcW w:w="1367" w:type="dxa"/>
            <w:vAlign w:val="center"/>
          </w:tcPr>
          <w:p>
            <w:pPr>
              <w:pStyle w:val="11"/>
              <w:widowControl w:val="0"/>
              <w:jc w:val="center"/>
              <w:rPr>
                <w:rFonts w:hint="eastAsia" w:ascii="宋体" w:hAnsi="宋体" w:eastAsia="宋体" w:cs="宋体"/>
                <w:snapToGrid w:val="0"/>
                <w:sz w:val="28"/>
                <w:szCs w:val="28"/>
                <w:vertAlign w:val="baseline"/>
                <w:lang w:val="en-US" w:eastAsia="zh-CN"/>
              </w:rPr>
            </w:pPr>
            <w:r>
              <w:rPr>
                <w:rFonts w:hint="eastAsia" w:ascii="宋体" w:hAnsi="宋体" w:eastAsia="宋体" w:cs="宋体"/>
                <w:snapToGrid w:val="0"/>
                <w:sz w:val="28"/>
                <w:szCs w:val="28"/>
                <w:vertAlign w:val="baseline"/>
                <w:lang w:val="en-US" w:eastAsia="zh-CN"/>
              </w:rPr>
              <w:t>单位名称</w:t>
            </w:r>
          </w:p>
        </w:tc>
        <w:tc>
          <w:tcPr>
            <w:tcW w:w="5908" w:type="dxa"/>
            <w:vAlign w:val="center"/>
          </w:tcPr>
          <w:p>
            <w:pPr>
              <w:pStyle w:val="11"/>
              <w:widowControl w:val="0"/>
              <w:jc w:val="center"/>
              <w:rPr>
                <w:rFonts w:hint="eastAsia" w:ascii="宋体" w:hAnsi="宋体" w:eastAsia="宋体" w:cs="宋体"/>
                <w:snapToGrid w:val="0"/>
                <w:sz w:val="28"/>
                <w:szCs w:val="28"/>
                <w:vertAlign w:val="baseline"/>
                <w:lang w:val="en-US" w:eastAsia="zh-CN"/>
              </w:rPr>
            </w:pPr>
            <w:r>
              <w:rPr>
                <w:rFonts w:ascii="宋体" w:hAnsi="宋体" w:eastAsia="宋体" w:cs="宋体"/>
                <w:sz w:val="28"/>
                <w:szCs w:val="28"/>
              </w:rPr>
              <w:t>山东世通国际认证有限公司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1" w:type="dxa"/>
            <w:vMerge w:val="continue"/>
            <w:vAlign w:val="center"/>
          </w:tcPr>
          <w:p>
            <w:pPr>
              <w:pStyle w:val="11"/>
              <w:widowControl w:val="0"/>
              <w:jc w:val="center"/>
              <w:rPr>
                <w:rFonts w:hint="eastAsia" w:ascii="宋体" w:hAnsi="宋体" w:eastAsia="宋体" w:cs="宋体"/>
                <w:snapToGrid w:val="0"/>
                <w:sz w:val="28"/>
                <w:szCs w:val="28"/>
                <w:vertAlign w:val="baseline"/>
                <w:lang w:val="en-US" w:eastAsia="zh-CN"/>
              </w:rPr>
            </w:pPr>
          </w:p>
        </w:tc>
        <w:tc>
          <w:tcPr>
            <w:tcW w:w="1367" w:type="dxa"/>
            <w:vAlign w:val="center"/>
          </w:tcPr>
          <w:p>
            <w:pPr>
              <w:pStyle w:val="11"/>
              <w:widowControl w:val="0"/>
              <w:jc w:val="center"/>
              <w:rPr>
                <w:rFonts w:hint="eastAsia" w:ascii="宋体" w:hAnsi="宋体" w:eastAsia="宋体" w:cs="宋体"/>
                <w:snapToGrid w:val="0"/>
                <w:sz w:val="28"/>
                <w:szCs w:val="28"/>
                <w:vertAlign w:val="baseline"/>
                <w:lang w:val="en-US" w:eastAsia="zh-CN"/>
              </w:rPr>
            </w:pPr>
            <w:r>
              <w:rPr>
                <w:rFonts w:hint="eastAsia" w:ascii="宋体" w:hAnsi="宋体" w:eastAsia="宋体" w:cs="宋体"/>
                <w:snapToGrid w:val="0"/>
                <w:sz w:val="28"/>
                <w:szCs w:val="28"/>
                <w:vertAlign w:val="baseline"/>
                <w:lang w:val="en-US" w:eastAsia="zh-CN"/>
              </w:rPr>
              <w:t>开户银行</w:t>
            </w:r>
          </w:p>
        </w:tc>
        <w:tc>
          <w:tcPr>
            <w:tcW w:w="5908" w:type="dxa"/>
            <w:vAlign w:val="center"/>
          </w:tcPr>
          <w:p>
            <w:pPr>
              <w:pStyle w:val="11"/>
              <w:widowControl w:val="0"/>
              <w:jc w:val="center"/>
              <w:rPr>
                <w:rFonts w:hint="eastAsia" w:ascii="宋体" w:hAnsi="宋体" w:eastAsia="宋体" w:cs="宋体"/>
                <w:snapToGrid w:val="0"/>
                <w:sz w:val="28"/>
                <w:szCs w:val="28"/>
                <w:vertAlign w:val="baseline"/>
                <w:lang w:val="en-US" w:eastAsia="zh-CN"/>
              </w:rPr>
            </w:pPr>
            <w:r>
              <w:rPr>
                <w:rFonts w:ascii="宋体" w:hAnsi="宋体" w:eastAsia="宋体" w:cs="宋体"/>
                <w:sz w:val="28"/>
                <w:szCs w:val="28"/>
              </w:rPr>
              <w:t>中国建设银行青岛市高新技术产业开发区支行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1" w:type="dxa"/>
            <w:vMerge w:val="continue"/>
            <w:vAlign w:val="center"/>
          </w:tcPr>
          <w:p>
            <w:pPr>
              <w:pStyle w:val="11"/>
              <w:widowControl w:val="0"/>
              <w:jc w:val="center"/>
              <w:rPr>
                <w:rFonts w:hint="eastAsia" w:ascii="宋体" w:hAnsi="宋体" w:eastAsia="宋体" w:cs="宋体"/>
                <w:snapToGrid w:val="0"/>
                <w:sz w:val="28"/>
                <w:szCs w:val="28"/>
                <w:vertAlign w:val="baseline"/>
                <w:lang w:val="en-US" w:eastAsia="zh-CN"/>
              </w:rPr>
            </w:pPr>
          </w:p>
        </w:tc>
        <w:tc>
          <w:tcPr>
            <w:tcW w:w="1367" w:type="dxa"/>
            <w:vAlign w:val="center"/>
          </w:tcPr>
          <w:p>
            <w:pPr>
              <w:pStyle w:val="11"/>
              <w:widowControl w:val="0"/>
              <w:jc w:val="center"/>
              <w:rPr>
                <w:rFonts w:hint="eastAsia" w:ascii="宋体" w:hAnsi="宋体" w:eastAsia="宋体" w:cs="宋体"/>
                <w:snapToGrid w:val="0"/>
                <w:sz w:val="28"/>
                <w:szCs w:val="28"/>
                <w:vertAlign w:val="baseline"/>
                <w:lang w:val="en-US" w:eastAsia="zh-CN"/>
              </w:rPr>
            </w:pPr>
            <w:r>
              <w:rPr>
                <w:rFonts w:hint="eastAsia" w:ascii="宋体" w:hAnsi="宋体" w:eastAsia="宋体" w:cs="宋体"/>
                <w:snapToGrid w:val="0"/>
                <w:sz w:val="28"/>
                <w:szCs w:val="28"/>
                <w:vertAlign w:val="baseline"/>
                <w:lang w:val="en-US" w:eastAsia="zh-CN"/>
              </w:rPr>
              <w:t>汇款账号</w:t>
            </w:r>
          </w:p>
        </w:tc>
        <w:tc>
          <w:tcPr>
            <w:tcW w:w="5908" w:type="dxa"/>
            <w:vAlign w:val="center"/>
          </w:tcPr>
          <w:p>
            <w:pPr>
              <w:pStyle w:val="11"/>
              <w:widowControl w:val="0"/>
              <w:jc w:val="center"/>
              <w:rPr>
                <w:rFonts w:hint="eastAsia" w:ascii="宋体" w:hAnsi="宋体" w:eastAsia="宋体" w:cs="宋体"/>
                <w:snapToGrid w:val="0"/>
                <w:sz w:val="28"/>
                <w:szCs w:val="28"/>
                <w:vertAlign w:val="baseline"/>
                <w:lang w:val="en-US" w:eastAsia="zh-CN"/>
              </w:rPr>
            </w:pPr>
            <w:r>
              <w:rPr>
                <w:rFonts w:ascii="宋体" w:hAnsi="宋体" w:eastAsia="宋体" w:cs="宋体"/>
                <w:sz w:val="28"/>
                <w:szCs w:val="28"/>
              </w:rPr>
              <w:t>37101006101052500704</w:t>
            </w:r>
          </w:p>
        </w:tc>
      </w:tr>
    </w:tbl>
    <w:p>
      <w:pPr>
        <w:pStyle w:val="11"/>
        <w:numPr>
          <w:ilvl w:val="0"/>
          <w:numId w:val="0"/>
        </w:numPr>
        <w:ind w:leftChars="0"/>
        <w:rPr>
          <w:rFonts w:hint="eastAsia" w:ascii="宋体" w:hAnsi="宋体" w:eastAsia="宋体" w:cs="宋体"/>
          <w:b/>
          <w:bCs/>
          <w:snapToGrid w:val="0"/>
          <w:lang w:val="en-US" w:eastAsia="zh-CN"/>
        </w:rPr>
      </w:pPr>
    </w:p>
    <w:p>
      <w:pPr>
        <w:pStyle w:val="11"/>
        <w:numPr>
          <w:ilvl w:val="0"/>
          <w:numId w:val="2"/>
        </w:numPr>
        <w:ind w:left="0" w:leftChars="0" w:firstLine="0" w:firstLineChars="0"/>
        <w:rPr>
          <w:rFonts w:hint="eastAsia" w:ascii="宋体" w:hAnsi="宋体" w:eastAsia="宋体" w:cs="宋体"/>
          <w:b/>
          <w:bCs/>
          <w:snapToGrid w:val="0"/>
          <w:lang w:val="en-US" w:eastAsia="zh-CN"/>
        </w:rPr>
      </w:pPr>
      <w:r>
        <w:rPr>
          <w:rFonts w:hint="eastAsia" w:ascii="宋体" w:hAnsi="宋体" w:eastAsia="宋体" w:cs="宋体"/>
          <w:b/>
          <w:bCs/>
          <w:snapToGrid w:val="0"/>
          <w:lang w:val="en-US" w:eastAsia="zh-CN"/>
        </w:rPr>
        <w:t>报名方式：</w:t>
      </w:r>
    </w:p>
    <w:p>
      <w:pPr>
        <w:pStyle w:val="11"/>
        <w:numPr>
          <w:ilvl w:val="0"/>
          <w:numId w:val="0"/>
        </w:numPr>
        <w:ind w:leftChars="0"/>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教务微信：18300287781（添加后，可索取报名表）</w:t>
      </w:r>
    </w:p>
    <w:p>
      <w:pPr>
        <w:pStyle w:val="11"/>
        <w:rPr>
          <w:rFonts w:hint="eastAsia"/>
          <w:sz w:val="32"/>
          <w:szCs w:val="32"/>
          <w:lang w:eastAsia="zh-CN"/>
        </w:rPr>
      </w:pPr>
    </w:p>
    <w:p>
      <w:pPr>
        <w:pStyle w:val="11"/>
        <w:rPr>
          <w:rFonts w:hint="eastAsia" w:ascii="宋体" w:hAnsi="宋体" w:eastAsia="宋体" w:cs="宋体"/>
          <w:b w:val="0"/>
          <w:bCs w:val="0"/>
          <w:snapToGrid w:val="0"/>
          <w:color w:val="auto"/>
          <w:sz w:val="26"/>
          <w:szCs w:val="26"/>
          <w:lang w:val="en-US" w:eastAsia="zh-CN"/>
        </w:rPr>
      </w:pPr>
      <w:r>
        <w:rPr>
          <w:b w:val="0"/>
          <w:bCs w:val="0"/>
          <w:color w:val="auto"/>
          <w:sz w:val="26"/>
          <w:szCs w:val="26"/>
        </w:rPr>
        <w:drawing>
          <wp:anchor distT="0" distB="0" distL="114300" distR="114300" simplePos="0" relativeHeight="251659264" behindDoc="1" locked="0" layoutInCell="1" allowOverlap="1">
            <wp:simplePos x="0" y="0"/>
            <wp:positionH relativeFrom="column">
              <wp:posOffset>-47625</wp:posOffset>
            </wp:positionH>
            <wp:positionV relativeFrom="paragraph">
              <wp:posOffset>76835</wp:posOffset>
            </wp:positionV>
            <wp:extent cx="1744980" cy="1724025"/>
            <wp:effectExtent l="0" t="0" r="0" b="0"/>
            <wp:wrapTight wrapText="bothSides">
              <wp:wrapPolygon>
                <wp:start x="0" y="0"/>
                <wp:lineTo x="0" y="21481"/>
                <wp:lineTo x="21459" y="21481"/>
                <wp:lineTo x="21459" y="0"/>
                <wp:lineTo x="0" y="0"/>
              </wp:wrapPolygon>
            </wp:wrapTight>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5"/>
                    <a:srcRect r="1807" b="3012"/>
                    <a:stretch>
                      <a:fillRect/>
                    </a:stretch>
                  </pic:blipFill>
                  <pic:spPr>
                    <a:xfrm>
                      <a:off x="0" y="0"/>
                      <a:ext cx="1744980" cy="1724025"/>
                    </a:xfrm>
                    <a:prstGeom prst="rect">
                      <a:avLst/>
                    </a:prstGeom>
                    <a:noFill/>
                    <a:ln>
                      <a:noFill/>
                    </a:ln>
                  </pic:spPr>
                </pic:pic>
              </a:graphicData>
            </a:graphic>
          </wp:anchor>
        </w:drawing>
      </w:r>
      <w:r>
        <w:rPr>
          <w:rFonts w:hint="eastAsia" w:ascii="宋体" w:hAnsi="宋体" w:eastAsia="宋体" w:cs="宋体"/>
          <w:b w:val="0"/>
          <w:bCs w:val="0"/>
          <w:snapToGrid w:val="0"/>
          <w:color w:val="auto"/>
          <w:sz w:val="26"/>
          <w:szCs w:val="26"/>
          <w:lang w:val="en-US" w:eastAsia="zh-CN"/>
        </w:rPr>
        <w:t>世通认证积极响应国家号召，为实现“3060碳达峰、碳中和”的目标，勇担社会责任，设立了300元专项基金，助理碳资产管理师&amp;碳核查员技能培训和职业发展。</w:t>
      </w:r>
    </w:p>
    <w:p>
      <w:pPr>
        <w:pStyle w:val="11"/>
        <w:rPr>
          <w:rFonts w:hint="eastAsia" w:ascii="宋体" w:hAnsi="宋体" w:eastAsia="宋体" w:cs="宋体"/>
          <w:b w:val="0"/>
          <w:bCs w:val="0"/>
          <w:snapToGrid w:val="0"/>
          <w:color w:val="auto"/>
          <w:sz w:val="26"/>
          <w:szCs w:val="26"/>
          <w:lang w:val="en-US" w:eastAsia="zh-CN"/>
        </w:rPr>
      </w:pPr>
    </w:p>
    <w:p>
      <w:pPr>
        <w:pStyle w:val="11"/>
        <w:rPr>
          <w:rFonts w:hint="eastAsia" w:ascii="宋体" w:hAnsi="宋体" w:eastAsia="宋体" w:cs="宋体"/>
          <w:b/>
          <w:bCs/>
          <w:snapToGrid w:val="0"/>
          <w:color w:val="auto"/>
          <w:sz w:val="26"/>
          <w:szCs w:val="26"/>
          <w:lang w:val="en-US" w:eastAsia="zh-CN"/>
        </w:rPr>
      </w:pPr>
      <w:r>
        <w:rPr>
          <w:rFonts w:hint="eastAsia" w:ascii="宋体" w:hAnsi="宋体" w:eastAsia="宋体" w:cs="宋体"/>
          <w:b/>
          <w:bCs/>
          <w:snapToGrid w:val="0"/>
          <w:color w:val="auto"/>
          <w:sz w:val="26"/>
          <w:szCs w:val="26"/>
          <w:lang w:val="en-US" w:eastAsia="zh-CN"/>
        </w:rPr>
        <w:t>备注：扫码入群，本次报名即可享受300元专项培训基金。</w:t>
      </w:r>
    </w:p>
    <w:p>
      <w:pPr>
        <w:pStyle w:val="11"/>
        <w:rPr>
          <w:rFonts w:hint="eastAsia" w:ascii="宋体" w:hAnsi="宋体" w:eastAsia="宋体" w:cs="宋体"/>
          <w:b/>
          <w:bCs/>
          <w:snapToGrid w:val="0"/>
          <w:color w:val="auto"/>
          <w:sz w:val="26"/>
          <w:szCs w:val="26"/>
          <w:lang w:val="en-US" w:eastAsia="zh-CN"/>
        </w:rPr>
      </w:pPr>
    </w:p>
    <w:p>
      <w:pPr>
        <w:ind w:left="0" w:leftChars="0" w:firstLine="0" w:firstLineChars="0"/>
        <w:rPr>
          <w:rFonts w:hint="eastAsia" w:ascii="宋体" w:hAnsi="宋体" w:eastAsia="宋体" w:cs="宋体"/>
          <w:b/>
          <w:bCs/>
          <w:snapToGrid w:val="0"/>
          <w:color w:val="auto"/>
          <w:sz w:val="26"/>
          <w:szCs w:val="26"/>
          <w:lang w:val="en-US" w:eastAsia="zh-CN"/>
        </w:rPr>
      </w:pPr>
    </w:p>
    <w:p>
      <w:pPr>
        <w:ind w:left="0" w:leftChars="0" w:firstLine="0" w:firstLineChars="0"/>
        <w:jc w:val="center"/>
        <w:rPr>
          <w:rFonts w:ascii="微软雅黑" w:hAnsi="微软雅黑" w:eastAsia="微软雅黑" w:cs="微软雅黑"/>
          <w:i w:val="0"/>
          <w:caps w:val="0"/>
          <w:spacing w:val="8"/>
          <w:sz w:val="25"/>
          <w:szCs w:val="25"/>
          <w:u w:val="single"/>
        </w:rPr>
      </w:pPr>
      <w:r>
        <w:rPr>
          <w:rFonts w:hint="eastAsia" w:ascii="宋体" w:hAnsi="宋体" w:eastAsia="宋体" w:cs="宋体"/>
          <w:b/>
          <w:bCs/>
          <w:snapToGrid w:val="0"/>
          <w:color w:val="auto"/>
          <w:sz w:val="26"/>
          <w:szCs w:val="26"/>
          <w:lang w:val="en-US" w:eastAsia="zh-CN"/>
        </w:rPr>
        <w:drawing>
          <wp:inline distT="0" distB="0" distL="114300" distR="114300">
            <wp:extent cx="3863340" cy="8509635"/>
            <wp:effectExtent l="0" t="0" r="3810" b="5715"/>
            <wp:docPr id="1" name="图片 1" descr="关于诚邀加入青岛市节能协会碳中和专业委员会的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关于诚邀加入青岛市节能协会碳中和专业委员会的函"/>
                    <pic:cNvPicPr>
                      <a:picLocks noChangeAspect="1"/>
                    </pic:cNvPicPr>
                  </pic:nvPicPr>
                  <pic:blipFill>
                    <a:blip r:embed="rId6"/>
                    <a:srcRect t="2653" b="2857"/>
                    <a:stretch>
                      <a:fillRect/>
                    </a:stretch>
                  </pic:blipFill>
                  <pic:spPr>
                    <a:xfrm>
                      <a:off x="0" y="0"/>
                      <a:ext cx="3863340" cy="8509635"/>
                    </a:xfrm>
                    <a:prstGeom prst="rect">
                      <a:avLst/>
                    </a:prstGeom>
                  </pic:spPr>
                </pic:pic>
              </a:graphicData>
            </a:graphic>
          </wp:inline>
        </w:drawing>
      </w:r>
    </w:p>
    <w:p>
      <w:pPr>
        <w:jc w:val="center"/>
        <w:rPr>
          <w:rFonts w:hint="eastAsia" w:ascii="微软雅黑" w:hAnsi="微软雅黑" w:eastAsia="微软雅黑" w:cs="微软雅黑"/>
          <w:i w:val="0"/>
          <w:caps w:val="0"/>
          <w:spacing w:val="8"/>
          <w:sz w:val="25"/>
          <w:szCs w:val="25"/>
          <w:u w:val="none"/>
          <w:lang w:val="en-US" w:eastAsia="zh-CN"/>
        </w:rPr>
      </w:pPr>
      <w:bookmarkStart w:id="0" w:name="_GoBack"/>
      <w:r>
        <w:rPr>
          <w:rFonts w:ascii="微软雅黑" w:hAnsi="微软雅黑" w:eastAsia="微软雅黑" w:cs="微软雅黑"/>
          <w:i w:val="0"/>
          <w:caps w:val="0"/>
          <w:spacing w:val="8"/>
          <w:sz w:val="25"/>
          <w:szCs w:val="25"/>
          <w:u w:val="single"/>
        </w:rPr>
        <w:fldChar w:fldCharType="begin"/>
      </w:r>
      <w:r>
        <w:rPr>
          <w:rFonts w:ascii="微软雅黑" w:hAnsi="微软雅黑" w:eastAsia="微软雅黑" w:cs="微软雅黑"/>
          <w:i w:val="0"/>
          <w:caps w:val="0"/>
          <w:spacing w:val="8"/>
          <w:sz w:val="25"/>
          <w:szCs w:val="25"/>
          <w:u w:val="single"/>
        </w:rPr>
        <w:instrText xml:space="preserve"> HYPERLINK "http://www.qdtzh.com/uploads/shenqingbiao.docx" </w:instrText>
      </w:r>
      <w:r>
        <w:rPr>
          <w:rFonts w:ascii="微软雅黑" w:hAnsi="微软雅黑" w:eastAsia="微软雅黑" w:cs="微软雅黑"/>
          <w:i w:val="0"/>
          <w:caps w:val="0"/>
          <w:spacing w:val="8"/>
          <w:sz w:val="25"/>
          <w:szCs w:val="25"/>
          <w:u w:val="single"/>
        </w:rPr>
        <w:fldChar w:fldCharType="separate"/>
      </w:r>
      <w:r>
        <w:rPr>
          <w:rStyle w:val="7"/>
          <w:rFonts w:hint="eastAsia" w:ascii="微软雅黑" w:hAnsi="微软雅黑" w:eastAsia="微软雅黑" w:cs="微软雅黑"/>
          <w:i w:val="0"/>
          <w:caps w:val="0"/>
          <w:color w:val="0000CD"/>
          <w:spacing w:val="8"/>
          <w:sz w:val="24"/>
          <w:szCs w:val="24"/>
          <w:u w:val="single"/>
        </w:rPr>
        <w:t>专委会单位会员入会登记表</w:t>
      </w:r>
      <w:r>
        <w:rPr>
          <w:rFonts w:hint="eastAsia" w:ascii="微软雅黑" w:hAnsi="微软雅黑" w:eastAsia="微软雅黑" w:cs="微软雅黑"/>
          <w:i w:val="0"/>
          <w:caps w:val="0"/>
          <w:spacing w:val="8"/>
          <w:sz w:val="25"/>
          <w:szCs w:val="25"/>
          <w:u w:val="single"/>
        </w:rPr>
        <w:fldChar w:fldCharType="end"/>
      </w:r>
    </w:p>
    <w:p>
      <w:pPr>
        <w:jc w:val="center"/>
        <w:rPr>
          <w:rFonts w:hint="eastAsia" w:ascii="微软雅黑" w:hAnsi="微软雅黑" w:eastAsia="微软雅黑" w:cs="微软雅黑"/>
          <w:i w:val="0"/>
          <w:caps w:val="0"/>
          <w:spacing w:val="8"/>
          <w:sz w:val="25"/>
          <w:szCs w:val="25"/>
          <w:u w:val="single"/>
          <w:lang w:val="en-US" w:eastAsia="zh-CN"/>
        </w:rPr>
      </w:pPr>
      <w:r>
        <w:rPr>
          <w:rFonts w:hint="eastAsia" w:ascii="微软雅黑" w:hAnsi="微软雅黑" w:eastAsia="微软雅黑" w:cs="微软雅黑"/>
          <w:i w:val="0"/>
          <w:caps w:val="0"/>
          <w:spacing w:val="8"/>
          <w:sz w:val="25"/>
          <w:szCs w:val="25"/>
          <w:u w:val="single"/>
        </w:rPr>
        <w:fldChar w:fldCharType="begin"/>
      </w:r>
      <w:r>
        <w:rPr>
          <w:rFonts w:hint="eastAsia" w:ascii="微软雅黑" w:hAnsi="微软雅黑" w:eastAsia="微软雅黑" w:cs="微软雅黑"/>
          <w:i w:val="0"/>
          <w:caps w:val="0"/>
          <w:spacing w:val="8"/>
          <w:sz w:val="25"/>
          <w:szCs w:val="25"/>
          <w:u w:val="single"/>
        </w:rPr>
        <w:instrText xml:space="preserve"> HYPERLINK "http://www.qdtzh.com/uploads/shenqingbiao_geren.docx" </w:instrText>
      </w:r>
      <w:r>
        <w:rPr>
          <w:rFonts w:hint="eastAsia" w:ascii="微软雅黑" w:hAnsi="微软雅黑" w:eastAsia="微软雅黑" w:cs="微软雅黑"/>
          <w:i w:val="0"/>
          <w:caps w:val="0"/>
          <w:spacing w:val="8"/>
          <w:sz w:val="25"/>
          <w:szCs w:val="25"/>
          <w:u w:val="single"/>
        </w:rPr>
        <w:fldChar w:fldCharType="separate"/>
      </w:r>
      <w:r>
        <w:rPr>
          <w:rStyle w:val="7"/>
          <w:rFonts w:hint="eastAsia" w:ascii="微软雅黑" w:hAnsi="微软雅黑" w:eastAsia="微软雅黑" w:cs="微软雅黑"/>
          <w:i w:val="0"/>
          <w:caps w:val="0"/>
          <w:color w:val="0000CD"/>
          <w:spacing w:val="8"/>
          <w:sz w:val="24"/>
          <w:szCs w:val="24"/>
          <w:u w:val="single"/>
        </w:rPr>
        <w:t xml:space="preserve">专委会个人会员入会登记表 </w:t>
      </w:r>
      <w:r>
        <w:rPr>
          <w:rFonts w:hint="eastAsia" w:ascii="微软雅黑" w:hAnsi="微软雅黑" w:eastAsia="微软雅黑" w:cs="微软雅黑"/>
          <w:i w:val="0"/>
          <w:caps w:val="0"/>
          <w:spacing w:val="8"/>
          <w:sz w:val="25"/>
          <w:szCs w:val="25"/>
          <w:u w:val="single"/>
        </w:rPr>
        <w:fldChar w:fldCharType="end"/>
      </w:r>
    </w:p>
    <w:bookmarkEnd w:id="0"/>
    <w:sectPr>
      <w:pgSz w:w="11906" w:h="16838"/>
      <w:pgMar w:top="944" w:right="1701" w:bottom="101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F7775"/>
    <w:multiLevelType w:val="singleLevel"/>
    <w:tmpl w:val="F0AF7775"/>
    <w:lvl w:ilvl="0" w:tentative="0">
      <w:start w:val="6"/>
      <w:numFmt w:val="chineseCounting"/>
      <w:suff w:val="nothing"/>
      <w:lvlText w:val="%1、"/>
      <w:lvlJc w:val="left"/>
      <w:rPr>
        <w:rFonts w:hint="eastAsia"/>
      </w:rPr>
    </w:lvl>
  </w:abstractNum>
  <w:abstractNum w:abstractNumId="1">
    <w:nsid w:val="7D0EDE6B"/>
    <w:multiLevelType w:val="singleLevel"/>
    <w:tmpl w:val="7D0EDE6B"/>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91B1A"/>
    <w:rsid w:val="02AB7A7D"/>
    <w:rsid w:val="05A07AB9"/>
    <w:rsid w:val="06FF4EE0"/>
    <w:rsid w:val="078B67F2"/>
    <w:rsid w:val="0A57008B"/>
    <w:rsid w:val="0F9C0D4F"/>
    <w:rsid w:val="18C92130"/>
    <w:rsid w:val="24257473"/>
    <w:rsid w:val="25D73D1F"/>
    <w:rsid w:val="26A4025E"/>
    <w:rsid w:val="2A1759A0"/>
    <w:rsid w:val="2DE2416C"/>
    <w:rsid w:val="325B5989"/>
    <w:rsid w:val="3F535D56"/>
    <w:rsid w:val="40A1545F"/>
    <w:rsid w:val="420B7C73"/>
    <w:rsid w:val="4BB323DD"/>
    <w:rsid w:val="4C23118D"/>
    <w:rsid w:val="4D47156E"/>
    <w:rsid w:val="4FEE49AC"/>
    <w:rsid w:val="50D249B3"/>
    <w:rsid w:val="53594B2F"/>
    <w:rsid w:val="546E59AD"/>
    <w:rsid w:val="571D4230"/>
    <w:rsid w:val="58B675A8"/>
    <w:rsid w:val="5A9D4F5D"/>
    <w:rsid w:val="5B3F6ED3"/>
    <w:rsid w:val="5D1909AC"/>
    <w:rsid w:val="66196DBE"/>
    <w:rsid w:val="67101CA2"/>
    <w:rsid w:val="77627DD0"/>
    <w:rsid w:val="788A10BE"/>
    <w:rsid w:val="78BA4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 w:type="character" w:styleId="7">
    <w:name w:val="Hyperlink"/>
    <w:basedOn w:val="5"/>
    <w:qFormat/>
    <w:uiPriority w:val="0"/>
    <w:rPr>
      <w:color w:val="0000FF"/>
      <w:u w:val="single"/>
    </w:rPr>
  </w:style>
  <w:style w:type="paragraph" w:customStyle="1" w:styleId="8">
    <w:name w:val="发文机关"/>
    <w:qFormat/>
    <w:uiPriority w:val="0"/>
    <w:pPr>
      <w:adjustRightInd w:val="0"/>
      <w:snapToGrid w:val="0"/>
      <w:spacing w:after="624" w:afterLines="200"/>
      <w:jc w:val="center"/>
    </w:pPr>
    <w:rPr>
      <w:rFonts w:ascii="Calibri" w:hAnsi="Calibri" w:eastAsia="宋体" w:cs="Times New Roman"/>
      <w:b/>
      <w:color w:val="FF0000"/>
      <w:w w:val="50"/>
      <w:kern w:val="2"/>
      <w:sz w:val="130"/>
      <w:szCs w:val="130"/>
      <w:lang w:val="en-US" w:eastAsia="zh-CN" w:bidi="ar-SA"/>
    </w:rPr>
  </w:style>
  <w:style w:type="paragraph" w:customStyle="1" w:styleId="9">
    <w:name w:val="发文字号"/>
    <w:qFormat/>
    <w:uiPriority w:val="0"/>
    <w:pPr>
      <w:pBdr>
        <w:bottom w:val="single" w:color="FF0000" w:sz="18" w:space="1"/>
      </w:pBdr>
      <w:jc w:val="center"/>
    </w:pPr>
    <w:rPr>
      <w:rFonts w:ascii="Calibri" w:hAnsi="Calibri" w:eastAsia="仿宋" w:cs="Times New Roman"/>
      <w:kern w:val="2"/>
      <w:sz w:val="32"/>
      <w:szCs w:val="21"/>
      <w:lang w:val="en-US" w:eastAsia="zh-CN" w:bidi="ar-SA"/>
    </w:rPr>
  </w:style>
  <w:style w:type="paragraph" w:customStyle="1" w:styleId="10">
    <w:name w:val="公文标题"/>
    <w:qFormat/>
    <w:uiPriority w:val="0"/>
    <w:pPr>
      <w:adjustRightInd w:val="0"/>
      <w:snapToGrid w:val="0"/>
      <w:spacing w:before="624" w:beforeLines="200" w:after="624" w:afterLines="200"/>
      <w:jc w:val="center"/>
    </w:pPr>
    <w:rPr>
      <w:rFonts w:ascii="Calibri" w:hAnsi="Calibri" w:eastAsia="宋体" w:cs="Times New Roman"/>
      <w:kern w:val="2"/>
      <w:sz w:val="44"/>
      <w:szCs w:val="21"/>
      <w:lang w:val="en-US" w:eastAsia="zh-CN" w:bidi="ar-SA"/>
    </w:rPr>
  </w:style>
  <w:style w:type="paragraph" w:customStyle="1" w:styleId="11">
    <w:name w:val="主送机关"/>
    <w:qFormat/>
    <w:uiPriority w:val="0"/>
    <w:rPr>
      <w:rFonts w:ascii="Calibri" w:hAnsi="Calibri" w:eastAsia="仿宋" w:cs="Times New Roman"/>
      <w:kern w:val="2"/>
      <w:sz w:val="32"/>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1998</Words>
  <Characters>2100</Characters>
  <Lines>0</Lines>
  <Paragraphs>0</Paragraphs>
  <TotalTime>0</TotalTime>
  <ScaleCrop>false</ScaleCrop>
  <LinksUpToDate>false</LinksUpToDate>
  <CharactersWithSpaces>2109</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2021-07-16T02:19:00Z</dcterms:created>
  <dc:creator>Administrator</dc:creator>
  <cp:lastModifiedBy>凯儿康</cp:lastModifiedBy>
  <dcterms:modified xsi:type="dcterms:W3CDTF">2021-09-16T02:27:44Z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A8D2F06D57BA4DEF883D7DA9C082D899</vt:lpwstr>
  </property>
</Properties>
</file>